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CEB20" w14:textId="77777777" w:rsidR="00D61D97" w:rsidRDefault="00CB39B5" w:rsidP="00CB39B5">
      <w:pPr>
        <w:spacing w:after="120" w:line="240" w:lineRule="auto"/>
        <w:jc w:val="both"/>
        <w:rPr>
          <w:b/>
          <w:sz w:val="24"/>
          <w:lang w:val="en-US"/>
        </w:rPr>
      </w:pPr>
      <w:r w:rsidRPr="00CB39B5">
        <w:rPr>
          <w:b/>
          <w:sz w:val="24"/>
          <w:lang w:val="en-US"/>
        </w:rPr>
        <w:t>The Ministry of Rural Development</w:t>
      </w:r>
      <w:r w:rsidR="00D61D97">
        <w:rPr>
          <w:b/>
          <w:sz w:val="24"/>
          <w:lang w:val="en-US"/>
        </w:rPr>
        <w:t xml:space="preserve">, </w:t>
      </w:r>
    </w:p>
    <w:p w14:paraId="17285A17" w14:textId="51BC079D" w:rsidR="00CB39B5" w:rsidRDefault="00CB39B5" w:rsidP="00CB39B5">
      <w:pPr>
        <w:spacing w:after="120" w:line="240" w:lineRule="auto"/>
        <w:jc w:val="both"/>
        <w:rPr>
          <w:b/>
          <w:sz w:val="24"/>
          <w:lang w:val="en-US"/>
        </w:rPr>
      </w:pPr>
      <w:r w:rsidRPr="00CB39B5">
        <w:rPr>
          <w:b/>
          <w:sz w:val="24"/>
          <w:lang w:val="en-US"/>
        </w:rPr>
        <w:t xml:space="preserve">Rural Infrastructure Development for Cambodia Program (RID4CAM) </w:t>
      </w:r>
    </w:p>
    <w:p w14:paraId="0716D979" w14:textId="46147FFD" w:rsidR="00CB39B5" w:rsidRPr="00CB39B5" w:rsidRDefault="00CB39B5" w:rsidP="00CB39B5">
      <w:pPr>
        <w:spacing w:after="120" w:line="240" w:lineRule="auto"/>
        <w:jc w:val="both"/>
        <w:rPr>
          <w:b/>
          <w:sz w:val="24"/>
          <w:lang w:val="en-US"/>
        </w:rPr>
      </w:pPr>
      <w:r w:rsidRPr="00CB39B5">
        <w:rPr>
          <w:b/>
          <w:sz w:val="24"/>
          <w:lang w:val="en-US"/>
        </w:rPr>
        <w:t>RID4CAM-WR-PVH/Lot 1</w:t>
      </w:r>
      <w:r>
        <w:rPr>
          <w:b/>
          <w:sz w:val="24"/>
          <w:lang w:val="en-US"/>
        </w:rPr>
        <w:t xml:space="preserve">, </w:t>
      </w:r>
      <w:r w:rsidRPr="00CB39B5">
        <w:rPr>
          <w:b/>
          <w:sz w:val="24"/>
          <w:lang w:val="en-US"/>
        </w:rPr>
        <w:t>RID4CAM-WR-PVH/Lot 2</w:t>
      </w:r>
      <w:r>
        <w:rPr>
          <w:b/>
          <w:sz w:val="24"/>
          <w:lang w:val="en-US"/>
        </w:rPr>
        <w:t xml:space="preserve">, </w:t>
      </w:r>
      <w:r w:rsidRPr="00CB39B5">
        <w:rPr>
          <w:b/>
          <w:sz w:val="24"/>
          <w:lang w:val="en-US"/>
        </w:rPr>
        <w:t>RID4CAM-WR-PVH/Lot 3</w:t>
      </w:r>
      <w:r>
        <w:rPr>
          <w:b/>
          <w:sz w:val="24"/>
          <w:lang w:val="en-US"/>
        </w:rPr>
        <w:t xml:space="preserve">. </w:t>
      </w:r>
      <w:r w:rsidRPr="00CB39B5">
        <w:rPr>
          <w:b/>
          <w:sz w:val="24"/>
          <w:lang w:val="en-US"/>
        </w:rPr>
        <w:t>RID4CAM-WR-SRP/Lot 4</w:t>
      </w:r>
      <w:r>
        <w:rPr>
          <w:b/>
          <w:sz w:val="24"/>
          <w:lang w:val="en-US"/>
        </w:rPr>
        <w:t xml:space="preserve">, </w:t>
      </w:r>
      <w:r w:rsidRPr="00CB39B5">
        <w:rPr>
          <w:b/>
          <w:sz w:val="24"/>
          <w:lang w:val="en-US"/>
        </w:rPr>
        <w:t>RID4CAM-WR-SRP/Lot 5</w:t>
      </w:r>
      <w:r>
        <w:rPr>
          <w:b/>
          <w:sz w:val="24"/>
          <w:lang w:val="en-US"/>
        </w:rPr>
        <w:t xml:space="preserve">, </w:t>
      </w:r>
      <w:r w:rsidRPr="00CB39B5">
        <w:rPr>
          <w:b/>
          <w:sz w:val="24"/>
          <w:lang w:val="en-US"/>
        </w:rPr>
        <w:t>RID4CAM-WR-SRP/Lot 6</w:t>
      </w:r>
      <w:r>
        <w:rPr>
          <w:b/>
          <w:sz w:val="24"/>
          <w:lang w:val="en-US"/>
        </w:rPr>
        <w:t xml:space="preserve">, </w:t>
      </w:r>
      <w:r w:rsidRPr="00CB39B5">
        <w:rPr>
          <w:b/>
          <w:sz w:val="24"/>
          <w:lang w:val="en-US"/>
        </w:rPr>
        <w:t>RID4CAM-WR-SRP/Lot 7</w:t>
      </w:r>
      <w:r>
        <w:rPr>
          <w:b/>
          <w:sz w:val="24"/>
          <w:lang w:val="en-US"/>
        </w:rPr>
        <w:t xml:space="preserve">, </w:t>
      </w:r>
      <w:r w:rsidRPr="00CB39B5">
        <w:rPr>
          <w:b/>
          <w:sz w:val="24"/>
          <w:lang w:val="en-US"/>
        </w:rPr>
        <w:t>RID4CAM-WR-SRP/Lot 8</w:t>
      </w:r>
      <w:r>
        <w:rPr>
          <w:b/>
          <w:sz w:val="24"/>
          <w:lang w:val="en-US"/>
        </w:rPr>
        <w:t xml:space="preserve">, </w:t>
      </w:r>
      <w:r w:rsidRPr="00CB39B5">
        <w:rPr>
          <w:b/>
          <w:sz w:val="24"/>
          <w:lang w:val="en-US"/>
        </w:rPr>
        <w:t>RID4CAM-WR-BTB/Lot 9</w:t>
      </w:r>
      <w:r>
        <w:rPr>
          <w:b/>
          <w:sz w:val="24"/>
          <w:lang w:val="en-US"/>
        </w:rPr>
        <w:t xml:space="preserve">, </w:t>
      </w:r>
      <w:r w:rsidRPr="00CB39B5">
        <w:rPr>
          <w:b/>
          <w:sz w:val="24"/>
          <w:lang w:val="en-US"/>
        </w:rPr>
        <w:t>RID4CAM-WR-BTB/Lot 10</w:t>
      </w:r>
      <w:r>
        <w:rPr>
          <w:b/>
          <w:sz w:val="24"/>
          <w:lang w:val="en-US"/>
        </w:rPr>
        <w:t xml:space="preserve">, </w:t>
      </w:r>
      <w:r w:rsidRPr="00CB39B5">
        <w:rPr>
          <w:b/>
          <w:sz w:val="24"/>
          <w:lang w:val="en-US"/>
        </w:rPr>
        <w:t>RID4CAM-WR-BTB/Lot 11</w:t>
      </w:r>
      <w:r>
        <w:rPr>
          <w:b/>
          <w:sz w:val="24"/>
          <w:lang w:val="en-US"/>
        </w:rPr>
        <w:t xml:space="preserve">, </w:t>
      </w:r>
      <w:r w:rsidRPr="00CB39B5">
        <w:rPr>
          <w:b/>
          <w:sz w:val="24"/>
          <w:lang w:val="en-US"/>
        </w:rPr>
        <w:t>RID4CAM-WR-BTB/Lot 12</w:t>
      </w:r>
      <w:r>
        <w:rPr>
          <w:b/>
          <w:sz w:val="24"/>
          <w:lang w:val="en-US"/>
        </w:rPr>
        <w:t xml:space="preserve">, </w:t>
      </w:r>
      <w:r w:rsidRPr="00CB39B5">
        <w:rPr>
          <w:b/>
          <w:sz w:val="24"/>
          <w:lang w:val="en-US"/>
        </w:rPr>
        <w:t>RID4CAM-WR-BTB/Lot 13</w:t>
      </w:r>
      <w:r>
        <w:rPr>
          <w:b/>
          <w:sz w:val="24"/>
          <w:lang w:val="en-US"/>
        </w:rPr>
        <w:t xml:space="preserve">, </w:t>
      </w:r>
      <w:r w:rsidRPr="00CB39B5">
        <w:rPr>
          <w:b/>
          <w:sz w:val="24"/>
          <w:lang w:val="en-US"/>
        </w:rPr>
        <w:t>RID4CAM-WR-BTB/Lot 14</w:t>
      </w:r>
    </w:p>
    <w:p w14:paraId="1B7DDD9B" w14:textId="6FA63710" w:rsidR="002334E3" w:rsidRPr="002334E3" w:rsidRDefault="002334E3" w:rsidP="002334E3">
      <w:pPr>
        <w:spacing w:after="120" w:line="240" w:lineRule="auto"/>
        <w:jc w:val="both"/>
        <w:rPr>
          <w:b/>
          <w:sz w:val="24"/>
          <w:u w:val="single"/>
        </w:rPr>
      </w:pPr>
      <w:r w:rsidRPr="002334E3">
        <w:rPr>
          <w:b/>
          <w:sz w:val="24"/>
          <w:u w:val="single"/>
        </w:rPr>
        <w:t xml:space="preserve">Circular </w:t>
      </w:r>
      <w:r w:rsidR="00CB39B5">
        <w:rPr>
          <w:b/>
          <w:sz w:val="24"/>
          <w:u w:val="single"/>
        </w:rPr>
        <w:t>1</w:t>
      </w:r>
    </w:p>
    <w:tbl>
      <w:tblPr>
        <w:tblStyle w:val="TableGrid"/>
        <w:tblW w:w="14454" w:type="dxa"/>
        <w:tblLook w:val="04A0" w:firstRow="1" w:lastRow="0" w:firstColumn="1" w:lastColumn="0" w:noHBand="0" w:noVBand="1"/>
      </w:tblPr>
      <w:tblGrid>
        <w:gridCol w:w="562"/>
        <w:gridCol w:w="5245"/>
        <w:gridCol w:w="8647"/>
      </w:tblGrid>
      <w:tr w:rsidR="002334E3" w14:paraId="645DB2B4" w14:textId="77777777" w:rsidTr="00D61D97">
        <w:trPr>
          <w:tblHeader/>
        </w:trPr>
        <w:tc>
          <w:tcPr>
            <w:tcW w:w="562" w:type="dxa"/>
            <w:shd w:val="clear" w:color="auto" w:fill="F2F2F2" w:themeFill="background1" w:themeFillShade="F2"/>
          </w:tcPr>
          <w:p w14:paraId="46AB3BA8" w14:textId="77777777" w:rsidR="002334E3" w:rsidRPr="002334E3" w:rsidRDefault="002334E3" w:rsidP="002334E3">
            <w:pPr>
              <w:spacing w:before="40" w:after="40"/>
              <w:rPr>
                <w:b/>
              </w:rPr>
            </w:pPr>
            <w:r>
              <w:rPr>
                <w:b/>
              </w:rPr>
              <w:t>N°</w:t>
            </w:r>
          </w:p>
        </w:tc>
        <w:tc>
          <w:tcPr>
            <w:tcW w:w="5245" w:type="dxa"/>
            <w:shd w:val="clear" w:color="auto" w:fill="F2F2F2" w:themeFill="background1" w:themeFillShade="F2"/>
          </w:tcPr>
          <w:p w14:paraId="321C6649" w14:textId="77777777" w:rsidR="002334E3" w:rsidRPr="002334E3" w:rsidRDefault="002334E3" w:rsidP="00CC2D49">
            <w:pPr>
              <w:spacing w:before="40" w:after="40"/>
              <w:jc w:val="both"/>
              <w:rPr>
                <w:b/>
              </w:rPr>
            </w:pPr>
            <w:r w:rsidRPr="002334E3">
              <w:rPr>
                <w:b/>
              </w:rPr>
              <w:t>Question</w:t>
            </w:r>
          </w:p>
        </w:tc>
        <w:tc>
          <w:tcPr>
            <w:tcW w:w="8647" w:type="dxa"/>
            <w:shd w:val="clear" w:color="auto" w:fill="F2F2F2" w:themeFill="background1" w:themeFillShade="F2"/>
          </w:tcPr>
          <w:p w14:paraId="068CD896" w14:textId="77777777" w:rsidR="002334E3" w:rsidRPr="002334E3" w:rsidRDefault="002334E3" w:rsidP="002334E3">
            <w:pPr>
              <w:spacing w:before="40" w:after="40"/>
              <w:rPr>
                <w:b/>
              </w:rPr>
            </w:pPr>
            <w:r w:rsidRPr="002334E3">
              <w:rPr>
                <w:b/>
              </w:rPr>
              <w:t>Answer</w:t>
            </w:r>
          </w:p>
        </w:tc>
      </w:tr>
      <w:tr w:rsidR="002334E3" w:rsidRPr="00CF340C" w14:paraId="11FF8D87" w14:textId="77777777" w:rsidTr="00D61D97">
        <w:tc>
          <w:tcPr>
            <w:tcW w:w="562" w:type="dxa"/>
          </w:tcPr>
          <w:p w14:paraId="799D96C7" w14:textId="77777777" w:rsidR="002334E3" w:rsidRPr="002334E3" w:rsidRDefault="002334E3" w:rsidP="002334E3">
            <w:pPr>
              <w:spacing w:before="40" w:after="40"/>
              <w:jc w:val="both"/>
              <w:rPr>
                <w:lang w:val="en-US"/>
              </w:rPr>
            </w:pPr>
            <w:r>
              <w:rPr>
                <w:lang w:val="en-US"/>
              </w:rPr>
              <w:t>1</w:t>
            </w:r>
          </w:p>
        </w:tc>
        <w:tc>
          <w:tcPr>
            <w:tcW w:w="5245" w:type="dxa"/>
          </w:tcPr>
          <w:p w14:paraId="20617AC5" w14:textId="5018EC50" w:rsidR="002334E3" w:rsidRPr="002334E3" w:rsidRDefault="00CB39B5" w:rsidP="00CC2D49">
            <w:pPr>
              <w:spacing w:before="40" w:after="40"/>
              <w:jc w:val="both"/>
              <w:rPr>
                <w:lang w:val="en-US"/>
              </w:rPr>
            </w:pPr>
            <w:r>
              <w:rPr>
                <w:lang w:val="en-US"/>
              </w:rPr>
              <w:t xml:space="preserve">Bidding will be conducted by means of the NCB (National Competitive Bidding). My company is in </w:t>
            </w:r>
            <w:r w:rsidRPr="00147C9D">
              <w:rPr>
                <w:i/>
                <w:iCs/>
                <w:lang w:val="en-US"/>
              </w:rPr>
              <w:t>XXX (</w:t>
            </w:r>
            <w:r w:rsidR="00147C9D">
              <w:rPr>
                <w:i/>
                <w:iCs/>
                <w:lang w:val="en-US"/>
              </w:rPr>
              <w:t>c</w:t>
            </w:r>
            <w:r w:rsidRPr="00147C9D">
              <w:rPr>
                <w:i/>
                <w:iCs/>
                <w:lang w:val="en-US"/>
              </w:rPr>
              <w:t>ountry different from Cambodia)</w:t>
            </w:r>
            <w:r>
              <w:rPr>
                <w:lang w:val="en-US"/>
              </w:rPr>
              <w:t xml:space="preserve">, so can my company join the bidding or not. </w:t>
            </w:r>
          </w:p>
        </w:tc>
        <w:tc>
          <w:tcPr>
            <w:tcW w:w="8647" w:type="dxa"/>
          </w:tcPr>
          <w:p w14:paraId="6BF7F13E" w14:textId="663ED083" w:rsidR="00D61D97" w:rsidRDefault="00D61D97" w:rsidP="00147C9D">
            <w:pPr>
              <w:spacing w:before="40" w:after="40"/>
              <w:rPr>
                <w:lang w:val="en-US"/>
              </w:rPr>
            </w:pPr>
            <w:r>
              <w:rPr>
                <w:lang w:val="en-US"/>
              </w:rPr>
              <w:t xml:space="preserve">1) Please refer to the </w:t>
            </w:r>
            <w:proofErr w:type="spellStart"/>
            <w:r>
              <w:rPr>
                <w:lang w:val="en-US"/>
              </w:rPr>
              <w:t>KfW</w:t>
            </w:r>
            <w:proofErr w:type="spellEnd"/>
            <w:r>
              <w:rPr>
                <w:lang w:val="en-US"/>
              </w:rPr>
              <w:t xml:space="preserve"> Development Bank “</w:t>
            </w:r>
            <w:r w:rsidRPr="00D61D97">
              <w:rPr>
                <w:lang w:val="en-US"/>
              </w:rPr>
              <w:t>Guidelines for</w:t>
            </w:r>
            <w:r>
              <w:rPr>
                <w:lang w:val="en-US"/>
              </w:rPr>
              <w:t xml:space="preserve"> </w:t>
            </w:r>
            <w:r w:rsidRPr="00D61D97">
              <w:rPr>
                <w:lang w:val="en-US"/>
              </w:rPr>
              <w:t>Procurement Guidelines for the Procurement of Consulting Services, Works, Plant, Goods and Non-Consulting Services in Financial</w:t>
            </w:r>
            <w:r>
              <w:rPr>
                <w:lang w:val="en-US"/>
              </w:rPr>
              <w:t xml:space="preserve"> </w:t>
            </w:r>
            <w:r w:rsidRPr="00D61D97">
              <w:rPr>
                <w:lang w:val="en-US"/>
              </w:rPr>
              <w:t>Cooperation with Partners</w:t>
            </w:r>
            <w:r>
              <w:rPr>
                <w:lang w:val="en-US"/>
              </w:rPr>
              <w:t xml:space="preserve">, </w:t>
            </w:r>
            <w:r w:rsidRPr="00D61D97">
              <w:rPr>
                <w:lang w:val="en-US"/>
              </w:rPr>
              <w:t>Document version January 2019</w:t>
            </w:r>
            <w:r>
              <w:rPr>
                <w:lang w:val="en-US"/>
              </w:rPr>
              <w:t xml:space="preserve">, </w:t>
            </w:r>
            <w:r w:rsidRPr="00D61D97">
              <w:rPr>
                <w:lang w:val="en-US"/>
              </w:rPr>
              <w:t>1. update as of January 2021</w:t>
            </w:r>
            <w:r>
              <w:rPr>
                <w:lang w:val="en-US"/>
              </w:rPr>
              <w:t xml:space="preserve">”, </w:t>
            </w:r>
            <w:r w:rsidRPr="00D61D97">
              <w:rPr>
                <w:lang w:val="en-US"/>
              </w:rPr>
              <w:t>2.1.2 National Competitive Bidding</w:t>
            </w:r>
            <w:r>
              <w:rPr>
                <w:lang w:val="en-US"/>
              </w:rPr>
              <w:t>, stating as follows:</w:t>
            </w:r>
            <w:r w:rsidRPr="00D61D97">
              <w:rPr>
                <w:lang w:val="en-US"/>
              </w:rPr>
              <w:t xml:space="preserve"> </w:t>
            </w:r>
          </w:p>
          <w:p w14:paraId="19AB36D3" w14:textId="209CC874" w:rsidR="00D61D97" w:rsidRDefault="00D61D97" w:rsidP="00147C9D">
            <w:pPr>
              <w:spacing w:before="40" w:after="40"/>
              <w:rPr>
                <w:lang w:val="en-US"/>
              </w:rPr>
            </w:pPr>
            <w:r>
              <w:rPr>
                <w:lang w:val="en-US"/>
              </w:rPr>
              <w:t>“</w:t>
            </w:r>
            <w:r w:rsidRPr="00D61D97">
              <w:rPr>
                <w:lang w:val="en-US"/>
              </w:rPr>
              <w:t xml:space="preserve">In the case of NCB, the Tender Notice is published nationally. However, </w:t>
            </w:r>
            <w:r w:rsidRPr="00D61D97">
              <w:rPr>
                <w:b/>
                <w:bCs/>
                <w:lang w:val="en-US"/>
              </w:rPr>
              <w:t>international Persons shall not be excluded from participation</w:t>
            </w:r>
            <w:r w:rsidRPr="00D61D97">
              <w:rPr>
                <w:lang w:val="en-US"/>
              </w:rPr>
              <w:t>.</w:t>
            </w:r>
            <w:r>
              <w:rPr>
                <w:lang w:val="en-US"/>
              </w:rPr>
              <w:t>”</w:t>
            </w:r>
          </w:p>
          <w:p w14:paraId="7E4A1D26" w14:textId="77777777" w:rsidR="00D61D97" w:rsidRDefault="00D61D97" w:rsidP="00147C9D">
            <w:pPr>
              <w:spacing w:before="40" w:after="40"/>
              <w:rPr>
                <w:lang w:val="en-US"/>
              </w:rPr>
            </w:pPr>
          </w:p>
          <w:p w14:paraId="37575168" w14:textId="2AAB35D2" w:rsidR="00B35A83" w:rsidRDefault="00D61D97" w:rsidP="00147C9D">
            <w:pPr>
              <w:spacing w:before="40" w:after="40"/>
              <w:rPr>
                <w:lang w:val="en-US"/>
              </w:rPr>
            </w:pPr>
            <w:r>
              <w:rPr>
                <w:lang w:val="en-US"/>
              </w:rPr>
              <w:t xml:space="preserve">2) </w:t>
            </w:r>
            <w:r w:rsidR="00147C9D">
              <w:rPr>
                <w:lang w:val="en-US"/>
              </w:rPr>
              <w:t xml:space="preserve">Please refer to the Bidding Document, </w:t>
            </w:r>
          </w:p>
          <w:p w14:paraId="0ACDD064" w14:textId="77777777" w:rsidR="00B35A83" w:rsidRDefault="00B35A83" w:rsidP="00147C9D">
            <w:pPr>
              <w:spacing w:before="40" w:after="40"/>
              <w:rPr>
                <w:lang w:val="en-US"/>
              </w:rPr>
            </w:pPr>
            <w:r w:rsidRPr="00B35A83">
              <w:rPr>
                <w:lang w:val="en-US"/>
              </w:rPr>
              <w:t>Section III. Qualification and Evaluation Criteria</w:t>
            </w:r>
            <w:r>
              <w:rPr>
                <w:lang w:val="en-US"/>
              </w:rPr>
              <w:t xml:space="preserve">, </w:t>
            </w:r>
            <w:r w:rsidRPr="00B35A83">
              <w:rPr>
                <w:lang w:val="en-US"/>
              </w:rPr>
              <w:t>1.</w:t>
            </w:r>
            <w:r>
              <w:rPr>
                <w:lang w:val="en-US"/>
              </w:rPr>
              <w:t xml:space="preserve"> </w:t>
            </w:r>
            <w:r w:rsidRPr="00B35A83">
              <w:rPr>
                <w:lang w:val="en-US"/>
              </w:rPr>
              <w:t>Evaluation of Eligibility and Qualification</w:t>
            </w:r>
            <w:r>
              <w:rPr>
                <w:lang w:val="en-US"/>
              </w:rPr>
              <w:t>, 1 Eligibility, 1.1 Nationality, defining a “</w:t>
            </w:r>
            <w:r w:rsidRPr="00B35A83">
              <w:rPr>
                <w:lang w:val="en-US"/>
              </w:rPr>
              <w:t>Nationality in accordance with ITB 4.3</w:t>
            </w:r>
            <w:r>
              <w:rPr>
                <w:lang w:val="en-US"/>
              </w:rPr>
              <w:t xml:space="preserve">”, </w:t>
            </w:r>
          </w:p>
          <w:p w14:paraId="036BD2AD" w14:textId="16790287" w:rsidR="00B35A83" w:rsidRDefault="00B35A83" w:rsidP="00147C9D">
            <w:pPr>
              <w:spacing w:before="40" w:after="40"/>
              <w:rPr>
                <w:lang w:val="en-US"/>
              </w:rPr>
            </w:pPr>
            <w:r>
              <w:rPr>
                <w:lang w:val="en-US"/>
              </w:rPr>
              <w:t>where Section I. Instructions to Bidders, ITB 4.3 defines “</w:t>
            </w:r>
            <w:r w:rsidRPr="00B35A83">
              <w:rPr>
                <w:lang w:val="en-US"/>
              </w:rPr>
              <w:t xml:space="preserve">The </w:t>
            </w:r>
            <w:proofErr w:type="spellStart"/>
            <w:r w:rsidRPr="00B35A83">
              <w:rPr>
                <w:lang w:val="en-US"/>
              </w:rPr>
              <w:t>KfW’s</w:t>
            </w:r>
            <w:proofErr w:type="spellEnd"/>
            <w:r w:rsidRPr="00B35A83">
              <w:rPr>
                <w:lang w:val="en-US"/>
              </w:rPr>
              <w:t xml:space="preserve"> eligibility criteria to bid are described in Section V, Eligibility Criteria.</w:t>
            </w:r>
            <w:r>
              <w:rPr>
                <w:lang w:val="en-US"/>
              </w:rPr>
              <w:t xml:space="preserve">” </w:t>
            </w:r>
          </w:p>
          <w:p w14:paraId="7055A018" w14:textId="0BF90E89" w:rsidR="00147C9D" w:rsidRPr="00147C9D" w:rsidRDefault="00B35A83" w:rsidP="00147C9D">
            <w:pPr>
              <w:spacing w:before="40" w:after="40"/>
              <w:rPr>
                <w:lang w:val="en-US"/>
              </w:rPr>
            </w:pPr>
            <w:r>
              <w:rPr>
                <w:lang w:val="en-US"/>
              </w:rPr>
              <w:t xml:space="preserve">And where </w:t>
            </w:r>
            <w:r w:rsidR="00147C9D" w:rsidRPr="00147C9D">
              <w:rPr>
                <w:lang w:val="en-US"/>
              </w:rPr>
              <w:t>Section V. Eligibility Criteria</w:t>
            </w:r>
            <w:r w:rsidR="00147C9D">
              <w:rPr>
                <w:lang w:val="en-US"/>
              </w:rPr>
              <w:t xml:space="preserve">, </w:t>
            </w:r>
            <w:r w:rsidR="00147C9D" w:rsidRPr="00147C9D">
              <w:rPr>
                <w:lang w:val="en-US"/>
              </w:rPr>
              <w:t xml:space="preserve">Eligibility in </w:t>
            </w:r>
            <w:proofErr w:type="spellStart"/>
            <w:r w:rsidR="00147C9D" w:rsidRPr="00147C9D">
              <w:rPr>
                <w:lang w:val="en-US"/>
              </w:rPr>
              <w:t>KfW</w:t>
            </w:r>
            <w:proofErr w:type="spellEnd"/>
            <w:r w:rsidR="00147C9D" w:rsidRPr="00147C9D">
              <w:rPr>
                <w:lang w:val="en-US"/>
              </w:rPr>
              <w:t>-Financed Procurement</w:t>
            </w:r>
            <w:r>
              <w:rPr>
                <w:lang w:val="en-US"/>
              </w:rPr>
              <w:t>, defines:</w:t>
            </w:r>
          </w:p>
          <w:p w14:paraId="691627BE" w14:textId="61FEE3EC" w:rsidR="00147C9D" w:rsidRPr="002334E3" w:rsidRDefault="00147C9D" w:rsidP="00147C9D">
            <w:pPr>
              <w:spacing w:before="40" w:after="40"/>
              <w:rPr>
                <w:lang w:val="en-US"/>
              </w:rPr>
            </w:pPr>
            <w:r>
              <w:rPr>
                <w:lang w:val="en-US"/>
              </w:rPr>
              <w:t>“</w:t>
            </w:r>
            <w:r w:rsidRPr="00147C9D">
              <w:rPr>
                <w:lang w:val="en-US"/>
              </w:rPr>
              <w:t>1.</w:t>
            </w:r>
            <w:r>
              <w:rPr>
                <w:lang w:val="en-US"/>
              </w:rPr>
              <w:t xml:space="preserve"> </w:t>
            </w:r>
            <w:r w:rsidRPr="00147C9D">
              <w:rPr>
                <w:lang w:val="en-US"/>
              </w:rPr>
              <w:t xml:space="preserve">Consulting Services, Works, Goods, Plant and Non-Consulting Services </w:t>
            </w:r>
            <w:r w:rsidRPr="00B35A83">
              <w:rPr>
                <w:b/>
                <w:bCs/>
                <w:lang w:val="en-US"/>
              </w:rPr>
              <w:t xml:space="preserve">are eligible for </w:t>
            </w:r>
            <w:proofErr w:type="spellStart"/>
            <w:r w:rsidRPr="00B35A83">
              <w:rPr>
                <w:b/>
                <w:bCs/>
                <w:lang w:val="en-US"/>
              </w:rPr>
              <w:t>KfW</w:t>
            </w:r>
            <w:proofErr w:type="spellEnd"/>
            <w:r w:rsidRPr="00B35A83">
              <w:rPr>
                <w:b/>
                <w:bCs/>
                <w:lang w:val="en-US"/>
              </w:rPr>
              <w:t xml:space="preserve"> financing regardless of the country of origin of the Contractors (including Subcontractors and suppliers for the execution of the Contract), except where an international embargo or sanction by the United Nations, the European Union or the German Government applies</w:t>
            </w:r>
            <w:r w:rsidRPr="00147C9D">
              <w:rPr>
                <w:lang w:val="en-US"/>
              </w:rPr>
              <w:t>.</w:t>
            </w:r>
            <w:r>
              <w:rPr>
                <w:lang w:val="en-US"/>
              </w:rPr>
              <w:t xml:space="preserve">” </w:t>
            </w:r>
          </w:p>
        </w:tc>
      </w:tr>
      <w:tr w:rsidR="002334E3" w:rsidRPr="00CF340C" w14:paraId="3A9DBFFA" w14:textId="77777777" w:rsidTr="00D61D97">
        <w:tc>
          <w:tcPr>
            <w:tcW w:w="562" w:type="dxa"/>
          </w:tcPr>
          <w:p w14:paraId="13E51DEE" w14:textId="77777777" w:rsidR="002334E3" w:rsidRPr="002334E3" w:rsidRDefault="002334E3" w:rsidP="002334E3">
            <w:pPr>
              <w:spacing w:before="40" w:after="40"/>
              <w:rPr>
                <w:lang w:val="en-US"/>
              </w:rPr>
            </w:pPr>
            <w:r>
              <w:rPr>
                <w:lang w:val="en-US"/>
              </w:rPr>
              <w:t>2</w:t>
            </w:r>
          </w:p>
        </w:tc>
        <w:tc>
          <w:tcPr>
            <w:tcW w:w="5245" w:type="dxa"/>
          </w:tcPr>
          <w:p w14:paraId="2FD95AEB" w14:textId="77777777" w:rsidR="00D61D97" w:rsidRPr="00D61D97" w:rsidRDefault="00D61D97" w:rsidP="00D61D97">
            <w:pPr>
              <w:spacing w:before="40" w:after="40"/>
              <w:jc w:val="both"/>
              <w:rPr>
                <w:lang w:val="en-US"/>
              </w:rPr>
            </w:pPr>
            <w:r w:rsidRPr="00D61D97">
              <w:rPr>
                <w:lang w:val="en-US"/>
              </w:rPr>
              <w:t xml:space="preserve">It is mentioned that Bidding Will Be Conducted </w:t>
            </w:r>
            <w:proofErr w:type="gramStart"/>
            <w:r w:rsidRPr="00D61D97">
              <w:rPr>
                <w:lang w:val="en-US"/>
              </w:rPr>
              <w:t>By</w:t>
            </w:r>
            <w:proofErr w:type="gramEnd"/>
            <w:r w:rsidRPr="00D61D97">
              <w:rPr>
                <w:lang w:val="en-US"/>
              </w:rPr>
              <w:t xml:space="preserve"> Means Of The National Competitive Bidding Procedure With Qualification As Specified In The </w:t>
            </w:r>
            <w:proofErr w:type="spellStart"/>
            <w:r w:rsidRPr="00D61D97">
              <w:rPr>
                <w:lang w:val="en-US"/>
              </w:rPr>
              <w:t>Kfw</w:t>
            </w:r>
            <w:proofErr w:type="spellEnd"/>
            <w:r w:rsidRPr="00D61D97">
              <w:rPr>
                <w:lang w:val="en-US"/>
              </w:rPr>
              <w:t xml:space="preserve"> Guidelines For Procurement Of Consulting Services, Works, Plant, Goods And Non-Consulting Services In Financial Cooperation With Partner Countries (</w:t>
            </w:r>
            <w:proofErr w:type="spellStart"/>
            <w:r w:rsidRPr="00D61D97">
              <w:rPr>
                <w:lang w:val="en-US"/>
              </w:rPr>
              <w:t>Kfw</w:t>
            </w:r>
            <w:proofErr w:type="spellEnd"/>
            <w:r w:rsidRPr="00D61D97">
              <w:rPr>
                <w:lang w:val="en-US"/>
              </w:rPr>
              <w:t xml:space="preserve"> Guidelines).</w:t>
            </w:r>
          </w:p>
          <w:p w14:paraId="57B9FB8A" w14:textId="4081A6F6" w:rsidR="002334E3" w:rsidRPr="002334E3" w:rsidRDefault="00D61D97" w:rsidP="00D61D97">
            <w:pPr>
              <w:spacing w:before="40" w:after="40"/>
              <w:jc w:val="both"/>
              <w:rPr>
                <w:lang w:val="en-US"/>
              </w:rPr>
            </w:pPr>
            <w:r w:rsidRPr="00D61D97">
              <w:rPr>
                <w:lang w:val="en-US"/>
              </w:rPr>
              <w:t xml:space="preserve">I am wondering if it is convenient, pls kindly send me one copy of this </w:t>
            </w:r>
            <w:proofErr w:type="spellStart"/>
            <w:r w:rsidRPr="00D61D97">
              <w:rPr>
                <w:lang w:val="en-US"/>
              </w:rPr>
              <w:t>Kfw</w:t>
            </w:r>
            <w:proofErr w:type="spellEnd"/>
            <w:r w:rsidRPr="00D61D97">
              <w:rPr>
                <w:lang w:val="en-US"/>
              </w:rPr>
              <w:t xml:space="preserve"> Guidelines.</w:t>
            </w:r>
          </w:p>
        </w:tc>
        <w:tc>
          <w:tcPr>
            <w:tcW w:w="8647" w:type="dxa"/>
          </w:tcPr>
          <w:p w14:paraId="21613D96" w14:textId="77777777" w:rsidR="00D84F2E" w:rsidRDefault="00D61D97" w:rsidP="004E145B">
            <w:pPr>
              <w:spacing w:before="40" w:after="40"/>
              <w:rPr>
                <w:lang w:val="en-US"/>
              </w:rPr>
            </w:pPr>
            <w:r w:rsidRPr="00D61D97">
              <w:rPr>
                <w:lang w:val="en-US"/>
              </w:rPr>
              <w:t xml:space="preserve">Please refer to the </w:t>
            </w:r>
            <w:proofErr w:type="spellStart"/>
            <w:r w:rsidRPr="00D61D97">
              <w:rPr>
                <w:lang w:val="en-US"/>
              </w:rPr>
              <w:t>KfW</w:t>
            </w:r>
            <w:proofErr w:type="spellEnd"/>
            <w:r w:rsidRPr="00D61D97">
              <w:rPr>
                <w:lang w:val="en-US"/>
              </w:rPr>
              <w:t xml:space="preserve"> Development Bank “Guidelines for Procurement Guidelines for the Procurement of Consulting Services, Works, Plant, Goods and Non-Consulting Services in Financial Cooperation with Partners, Document version January 2019, 1. update as of January</w:t>
            </w:r>
            <w:r>
              <w:rPr>
                <w:lang w:val="en-US"/>
              </w:rPr>
              <w:t xml:space="preserve"> </w:t>
            </w:r>
            <w:r w:rsidRPr="00D61D97">
              <w:rPr>
                <w:lang w:val="en-US"/>
              </w:rPr>
              <w:t>2021,</w:t>
            </w:r>
            <w:r>
              <w:rPr>
                <w:lang w:val="en-US"/>
              </w:rPr>
              <w:t xml:space="preserve"> available for download as per the following weblink:</w:t>
            </w:r>
          </w:p>
          <w:p w14:paraId="4708E09D" w14:textId="7936165E" w:rsidR="00D61D97" w:rsidRPr="00D61D97" w:rsidRDefault="00DB10F0" w:rsidP="004E145B">
            <w:pPr>
              <w:spacing w:before="40" w:after="40"/>
              <w:rPr>
                <w:bCs/>
                <w:color w:val="FF0000"/>
                <w:lang w:val="en-US"/>
              </w:rPr>
            </w:pPr>
            <w:hyperlink r:id="rId5" w:history="1">
              <w:r w:rsidR="00D61D97" w:rsidRPr="00D61D97">
                <w:rPr>
                  <w:rStyle w:val="Hyperlink"/>
                  <w:bCs/>
                  <w:lang w:val="ru-RU"/>
                </w:rPr>
                <w:t>https://www.kfw-entwicklungsbank.de/PDF/Download-Center/PDF-Dokumente-Richtlinien/FZ-Vergaberichtlinien-V-2021-EN.pdf</w:t>
              </w:r>
            </w:hyperlink>
            <w:r w:rsidR="00D61D97" w:rsidRPr="00D61D97">
              <w:rPr>
                <w:bCs/>
                <w:color w:val="FF0000"/>
                <w:lang w:val="en-US"/>
              </w:rPr>
              <w:t xml:space="preserve"> </w:t>
            </w:r>
          </w:p>
        </w:tc>
      </w:tr>
    </w:tbl>
    <w:p w14:paraId="6ED071A7" w14:textId="77777777" w:rsidR="002334E3" w:rsidRPr="002334E3" w:rsidRDefault="002334E3" w:rsidP="00D61D97">
      <w:pPr>
        <w:rPr>
          <w:lang w:val="en-US"/>
        </w:rPr>
      </w:pPr>
    </w:p>
    <w:sectPr w:rsidR="002334E3" w:rsidRPr="002334E3" w:rsidSect="00CC2D49">
      <w:pgSz w:w="16838" w:h="11906" w:orient="landscape"/>
      <w:pgMar w:top="851" w:right="1103"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2552"/>
    <w:multiLevelType w:val="multilevel"/>
    <w:tmpl w:val="D3420B8C"/>
    <w:lvl w:ilvl="0">
      <w:start w:val="1"/>
      <w:numFmt w:val="decimal"/>
      <w:pStyle w:val="Heading1"/>
      <w:lvlText w:val="%1"/>
      <w:lvlJc w:val="left"/>
      <w:pPr>
        <w:ind w:left="2276" w:hanging="432"/>
      </w:pPr>
    </w:lvl>
    <w:lvl w:ilvl="1">
      <w:start w:val="1"/>
      <w:numFmt w:val="decimal"/>
      <w:lvlText w:val="%1.%2"/>
      <w:lvlJc w:val="left"/>
      <w:pPr>
        <w:ind w:left="860" w:hanging="576"/>
      </w:pPr>
      <w:rPr>
        <w:rFonts w:asciiTheme="minorHAnsi" w:hAnsiTheme="minorHAnsi" w:cstheme="minorHAnsi" w:hint="default"/>
      </w:rPr>
    </w:lvl>
    <w:lvl w:ilvl="2">
      <w:start w:val="1"/>
      <w:numFmt w:val="decimal"/>
      <w:pStyle w:val="Heading3"/>
      <w:lvlText w:val="%1.%2.%3"/>
      <w:lvlJc w:val="left"/>
      <w:pPr>
        <w:ind w:left="1288" w:hanging="720"/>
      </w:pPr>
      <w:rPr>
        <w:sz w:val="20"/>
        <w:szCs w:val="20"/>
      </w:rPr>
    </w:lvl>
    <w:lvl w:ilvl="3">
      <w:start w:val="1"/>
      <w:numFmt w:val="decimal"/>
      <w:lvlText w:val="%1.%2.%3.%4"/>
      <w:lvlJc w:val="left"/>
      <w:pPr>
        <w:ind w:left="1999" w:hanging="864"/>
      </w:pPr>
    </w:lvl>
    <w:lvl w:ilvl="4">
      <w:start w:val="1"/>
      <w:numFmt w:val="decimal"/>
      <w:lvlText w:val="%1.%2.%3.%4.%5"/>
      <w:lvlJc w:val="left"/>
      <w:pPr>
        <w:ind w:left="1010" w:hanging="1008"/>
      </w:pPr>
    </w:lvl>
    <w:lvl w:ilvl="5">
      <w:start w:val="1"/>
      <w:numFmt w:val="decimal"/>
      <w:lvlText w:val="%1.%2.%3.%4.%5.%6"/>
      <w:lvlJc w:val="left"/>
      <w:pPr>
        <w:ind w:left="1154" w:hanging="1152"/>
      </w:pPr>
    </w:lvl>
    <w:lvl w:ilvl="6">
      <w:start w:val="1"/>
      <w:numFmt w:val="decimal"/>
      <w:lvlText w:val="%1.%2.%3.%4.%5.%6.%7"/>
      <w:lvlJc w:val="left"/>
      <w:pPr>
        <w:ind w:left="1298" w:hanging="1296"/>
      </w:pPr>
    </w:lvl>
    <w:lvl w:ilvl="7">
      <w:start w:val="1"/>
      <w:numFmt w:val="decimal"/>
      <w:lvlText w:val="%1.%2.%3.%4.%5.%6.%7.%8"/>
      <w:lvlJc w:val="left"/>
      <w:pPr>
        <w:ind w:left="1442" w:hanging="1440"/>
      </w:pPr>
    </w:lvl>
    <w:lvl w:ilvl="8">
      <w:start w:val="1"/>
      <w:numFmt w:val="decimal"/>
      <w:lvlText w:val="%1.%2.%3.%4.%5.%6.%7.%8.%9"/>
      <w:lvlJc w:val="left"/>
      <w:pPr>
        <w:ind w:left="1586" w:hanging="1584"/>
      </w:pPr>
    </w:lvl>
  </w:abstractNum>
  <w:abstractNum w:abstractNumId="1" w15:restartNumberingAfterBreak="0">
    <w:nsid w:val="0DBF79E9"/>
    <w:multiLevelType w:val="hybridMultilevel"/>
    <w:tmpl w:val="0CBC0028"/>
    <w:lvl w:ilvl="0" w:tplc="7624A2C0">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76672C"/>
    <w:multiLevelType w:val="hybridMultilevel"/>
    <w:tmpl w:val="7930B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B1C36"/>
    <w:multiLevelType w:val="hybridMultilevel"/>
    <w:tmpl w:val="0CBC0028"/>
    <w:lvl w:ilvl="0" w:tplc="7624A2C0">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F160FDE"/>
    <w:multiLevelType w:val="hybridMultilevel"/>
    <w:tmpl w:val="0CBC0028"/>
    <w:lvl w:ilvl="0" w:tplc="7624A2C0">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1F53388"/>
    <w:multiLevelType w:val="multilevel"/>
    <w:tmpl w:val="2F703126"/>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8566DE4"/>
    <w:multiLevelType w:val="hybridMultilevel"/>
    <w:tmpl w:val="0CBC0028"/>
    <w:lvl w:ilvl="0" w:tplc="7624A2C0">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40C44D3"/>
    <w:multiLevelType w:val="hybridMultilevel"/>
    <w:tmpl w:val="0CBC0028"/>
    <w:lvl w:ilvl="0" w:tplc="7624A2C0">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F02403A"/>
    <w:multiLevelType w:val="hybridMultilevel"/>
    <w:tmpl w:val="BA920570"/>
    <w:lvl w:ilvl="0" w:tplc="0856227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6457FE"/>
    <w:multiLevelType w:val="hybridMultilevel"/>
    <w:tmpl w:val="0CBC0028"/>
    <w:lvl w:ilvl="0" w:tplc="7624A2C0">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1986BB0"/>
    <w:multiLevelType w:val="hybridMultilevel"/>
    <w:tmpl w:val="42DE99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1B6311C"/>
    <w:multiLevelType w:val="multilevel"/>
    <w:tmpl w:val="5B90FAAE"/>
    <w:lvl w:ilvl="0">
      <w:start w:val="1"/>
      <w:numFmt w:val="decimal"/>
      <w:lvlText w:val="%1."/>
      <w:lvlJc w:val="left"/>
      <w:pPr>
        <w:ind w:left="360" w:hanging="360"/>
      </w:pPr>
      <w:rPr>
        <w:rFonts w:hint="default"/>
      </w:rPr>
    </w:lvl>
    <w:lvl w:ilvl="1">
      <w:start w:val="1"/>
      <w:numFmt w:val="decimal"/>
      <w:lvlText w:val="%1.%2"/>
      <w:lvlJc w:val="left"/>
      <w:pPr>
        <w:tabs>
          <w:tab w:val="num" w:pos="1134"/>
        </w:tabs>
        <w:ind w:left="1134" w:hanging="1134"/>
      </w:pPr>
      <w:rPr>
        <w:rFonts w:hint="default"/>
        <w:color w:val="auto"/>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702"/>
        </w:tabs>
        <w:ind w:left="1702" w:hanging="113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230384992">
    <w:abstractNumId w:val="11"/>
  </w:num>
  <w:num w:numId="2" w16cid:durableId="1560937684">
    <w:abstractNumId w:val="11"/>
  </w:num>
  <w:num w:numId="3" w16cid:durableId="275211753">
    <w:abstractNumId w:val="11"/>
  </w:num>
  <w:num w:numId="4" w16cid:durableId="670564410">
    <w:abstractNumId w:val="11"/>
  </w:num>
  <w:num w:numId="5" w16cid:durableId="2093427315">
    <w:abstractNumId w:val="11"/>
  </w:num>
  <w:num w:numId="6" w16cid:durableId="1037389726">
    <w:abstractNumId w:val="11"/>
  </w:num>
  <w:num w:numId="7" w16cid:durableId="1315991491">
    <w:abstractNumId w:val="11"/>
  </w:num>
  <w:num w:numId="8" w16cid:durableId="1299073123">
    <w:abstractNumId w:val="0"/>
  </w:num>
  <w:num w:numId="9" w16cid:durableId="1928075521">
    <w:abstractNumId w:val="5"/>
  </w:num>
  <w:num w:numId="10" w16cid:durableId="875776319">
    <w:abstractNumId w:val="9"/>
  </w:num>
  <w:num w:numId="11" w16cid:durableId="1381325869">
    <w:abstractNumId w:val="4"/>
  </w:num>
  <w:num w:numId="12" w16cid:durableId="2038387212">
    <w:abstractNumId w:val="7"/>
  </w:num>
  <w:num w:numId="13" w16cid:durableId="17241672">
    <w:abstractNumId w:val="1"/>
  </w:num>
  <w:num w:numId="14" w16cid:durableId="1825658365">
    <w:abstractNumId w:val="6"/>
  </w:num>
  <w:num w:numId="15" w16cid:durableId="658926833">
    <w:abstractNumId w:val="3"/>
  </w:num>
  <w:num w:numId="16" w16cid:durableId="1096633447">
    <w:abstractNumId w:val="10"/>
  </w:num>
  <w:num w:numId="17" w16cid:durableId="722338663">
    <w:abstractNumId w:val="2"/>
  </w:num>
  <w:num w:numId="18" w16cid:durableId="12174693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4E3"/>
    <w:rsid w:val="00003C2A"/>
    <w:rsid w:val="00017353"/>
    <w:rsid w:val="00017B54"/>
    <w:rsid w:val="000312CD"/>
    <w:rsid w:val="0003423C"/>
    <w:rsid w:val="00035024"/>
    <w:rsid w:val="00070DCD"/>
    <w:rsid w:val="00071986"/>
    <w:rsid w:val="00090A3D"/>
    <w:rsid w:val="000A2E07"/>
    <w:rsid w:val="000A511B"/>
    <w:rsid w:val="000C74E7"/>
    <w:rsid w:val="00125B26"/>
    <w:rsid w:val="00127A05"/>
    <w:rsid w:val="00137185"/>
    <w:rsid w:val="00146654"/>
    <w:rsid w:val="00147C9D"/>
    <w:rsid w:val="00152827"/>
    <w:rsid w:val="00165021"/>
    <w:rsid w:val="00187418"/>
    <w:rsid w:val="00197F0B"/>
    <w:rsid w:val="001A43F4"/>
    <w:rsid w:val="001B5425"/>
    <w:rsid w:val="001E0BE9"/>
    <w:rsid w:val="001F5C55"/>
    <w:rsid w:val="002334E3"/>
    <w:rsid w:val="002351C8"/>
    <w:rsid w:val="002467C9"/>
    <w:rsid w:val="00257786"/>
    <w:rsid w:val="00270E89"/>
    <w:rsid w:val="0027792F"/>
    <w:rsid w:val="00285456"/>
    <w:rsid w:val="00291BD0"/>
    <w:rsid w:val="00291F92"/>
    <w:rsid w:val="002B1A2A"/>
    <w:rsid w:val="002E3DEE"/>
    <w:rsid w:val="00307383"/>
    <w:rsid w:val="003309BF"/>
    <w:rsid w:val="00334CB4"/>
    <w:rsid w:val="00336E74"/>
    <w:rsid w:val="00355AD9"/>
    <w:rsid w:val="00370440"/>
    <w:rsid w:val="00380605"/>
    <w:rsid w:val="00391E27"/>
    <w:rsid w:val="003B43E7"/>
    <w:rsid w:val="003C6DEE"/>
    <w:rsid w:val="00422F76"/>
    <w:rsid w:val="004371F1"/>
    <w:rsid w:val="00465F43"/>
    <w:rsid w:val="00466DE2"/>
    <w:rsid w:val="004E145B"/>
    <w:rsid w:val="005076E1"/>
    <w:rsid w:val="00557533"/>
    <w:rsid w:val="005C05D8"/>
    <w:rsid w:val="005D3804"/>
    <w:rsid w:val="006003F8"/>
    <w:rsid w:val="006159DF"/>
    <w:rsid w:val="0066735C"/>
    <w:rsid w:val="006950FF"/>
    <w:rsid w:val="006A4566"/>
    <w:rsid w:val="006B659D"/>
    <w:rsid w:val="006E3539"/>
    <w:rsid w:val="006F3D94"/>
    <w:rsid w:val="007049F4"/>
    <w:rsid w:val="007261A4"/>
    <w:rsid w:val="00727BC9"/>
    <w:rsid w:val="0073043E"/>
    <w:rsid w:val="00735B7C"/>
    <w:rsid w:val="00767371"/>
    <w:rsid w:val="007725D1"/>
    <w:rsid w:val="0078045F"/>
    <w:rsid w:val="00783902"/>
    <w:rsid w:val="007A64C0"/>
    <w:rsid w:val="007D09C9"/>
    <w:rsid w:val="007D49B6"/>
    <w:rsid w:val="007D75D8"/>
    <w:rsid w:val="008019A0"/>
    <w:rsid w:val="0080472A"/>
    <w:rsid w:val="00810FC2"/>
    <w:rsid w:val="00822748"/>
    <w:rsid w:val="00823893"/>
    <w:rsid w:val="00837710"/>
    <w:rsid w:val="00854C2F"/>
    <w:rsid w:val="0085594E"/>
    <w:rsid w:val="008869BB"/>
    <w:rsid w:val="00893768"/>
    <w:rsid w:val="008A5947"/>
    <w:rsid w:val="008C1956"/>
    <w:rsid w:val="00907C84"/>
    <w:rsid w:val="00932BFD"/>
    <w:rsid w:val="0093497E"/>
    <w:rsid w:val="00941267"/>
    <w:rsid w:val="009565DD"/>
    <w:rsid w:val="00961E94"/>
    <w:rsid w:val="00966996"/>
    <w:rsid w:val="00984CEF"/>
    <w:rsid w:val="0099147F"/>
    <w:rsid w:val="009A2037"/>
    <w:rsid w:val="009E7269"/>
    <w:rsid w:val="00A01B7B"/>
    <w:rsid w:val="00A0352E"/>
    <w:rsid w:val="00A15AF0"/>
    <w:rsid w:val="00A52991"/>
    <w:rsid w:val="00A55A14"/>
    <w:rsid w:val="00A65046"/>
    <w:rsid w:val="00A72A1E"/>
    <w:rsid w:val="00A86C4E"/>
    <w:rsid w:val="00A963E2"/>
    <w:rsid w:val="00AC7684"/>
    <w:rsid w:val="00AD1995"/>
    <w:rsid w:val="00AD227A"/>
    <w:rsid w:val="00AD4184"/>
    <w:rsid w:val="00AD5EBB"/>
    <w:rsid w:val="00AD7786"/>
    <w:rsid w:val="00AF4D24"/>
    <w:rsid w:val="00B06F8E"/>
    <w:rsid w:val="00B07938"/>
    <w:rsid w:val="00B168C1"/>
    <w:rsid w:val="00B35A83"/>
    <w:rsid w:val="00B43E2A"/>
    <w:rsid w:val="00BA43CF"/>
    <w:rsid w:val="00BB0FB8"/>
    <w:rsid w:val="00BC1B46"/>
    <w:rsid w:val="00BE6255"/>
    <w:rsid w:val="00BF2BE6"/>
    <w:rsid w:val="00C03D0D"/>
    <w:rsid w:val="00C20ADC"/>
    <w:rsid w:val="00C370B8"/>
    <w:rsid w:val="00C37EDF"/>
    <w:rsid w:val="00C44655"/>
    <w:rsid w:val="00C64D9D"/>
    <w:rsid w:val="00C91F2E"/>
    <w:rsid w:val="00CB39B5"/>
    <w:rsid w:val="00CB6F3B"/>
    <w:rsid w:val="00CC089A"/>
    <w:rsid w:val="00CC2D49"/>
    <w:rsid w:val="00CD3BFE"/>
    <w:rsid w:val="00CF340C"/>
    <w:rsid w:val="00D0541B"/>
    <w:rsid w:val="00D429BA"/>
    <w:rsid w:val="00D54C70"/>
    <w:rsid w:val="00D61D97"/>
    <w:rsid w:val="00D84F2E"/>
    <w:rsid w:val="00DB10F0"/>
    <w:rsid w:val="00DF0DD2"/>
    <w:rsid w:val="00E54407"/>
    <w:rsid w:val="00EE5403"/>
    <w:rsid w:val="00F370D7"/>
    <w:rsid w:val="00F71CC6"/>
    <w:rsid w:val="00F72727"/>
    <w:rsid w:val="00F73626"/>
    <w:rsid w:val="00F83725"/>
    <w:rsid w:val="00FA2C17"/>
    <w:rsid w:val="00FB5350"/>
    <w:rsid w:val="00FE532F"/>
    <w:rsid w:val="00FF42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4CDA9"/>
  <w15:chartTrackingRefBased/>
  <w15:docId w15:val="{FEAF753F-B1CD-4F3D-B82B-CD16B3E93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GITEC 1. Chapter Heading,Gitec heading 1"/>
    <w:basedOn w:val="Normal"/>
    <w:next w:val="Normal"/>
    <w:link w:val="Heading1Char"/>
    <w:autoRedefine/>
    <w:qFormat/>
    <w:rsid w:val="00EE5403"/>
    <w:pPr>
      <w:keepNext/>
      <w:keepLines/>
      <w:pageBreakBefore/>
      <w:numPr>
        <w:numId w:val="8"/>
      </w:numPr>
      <w:spacing w:before="240" w:after="120" w:line="240" w:lineRule="auto"/>
      <w:outlineLvl w:val="0"/>
    </w:pPr>
    <w:rPr>
      <w:rFonts w:cstheme="minorHAnsi"/>
      <w:b/>
      <w:bCs/>
      <w:caps/>
      <w:kern w:val="32"/>
      <w:szCs w:val="32"/>
      <w:lang w:val="fr-FR"/>
    </w:rPr>
  </w:style>
  <w:style w:type="paragraph" w:styleId="Heading2">
    <w:name w:val="heading 2"/>
    <w:aliases w:val="GITEC 2. Chapter Heading,Gitec Heading 2"/>
    <w:basedOn w:val="Normal"/>
    <w:next w:val="Normal"/>
    <w:link w:val="Heading2Char"/>
    <w:autoRedefine/>
    <w:uiPriority w:val="99"/>
    <w:qFormat/>
    <w:rsid w:val="00380605"/>
    <w:pPr>
      <w:keepLines/>
      <w:numPr>
        <w:ilvl w:val="1"/>
        <w:numId w:val="9"/>
      </w:numPr>
      <w:spacing w:before="240" w:after="240" w:line="240" w:lineRule="auto"/>
      <w:ind w:left="992" w:hanging="992"/>
      <w:outlineLvl w:val="1"/>
    </w:pPr>
    <w:rPr>
      <w:rFonts w:cs="Arial"/>
      <w:b/>
      <w:bCs/>
      <w:iCs/>
      <w:szCs w:val="28"/>
      <w:lang w:val="fr-FR"/>
    </w:rPr>
  </w:style>
  <w:style w:type="paragraph" w:styleId="Heading3">
    <w:name w:val="heading 3"/>
    <w:aliases w:val="GITEC 3. Chapter Heading,Gitec Heading 3"/>
    <w:basedOn w:val="Normal"/>
    <w:next w:val="Normal"/>
    <w:link w:val="Heading3Char"/>
    <w:autoRedefine/>
    <w:qFormat/>
    <w:rsid w:val="00EE5403"/>
    <w:pPr>
      <w:keepNext/>
      <w:keepLines/>
      <w:numPr>
        <w:ilvl w:val="2"/>
        <w:numId w:val="8"/>
      </w:numPr>
      <w:spacing w:before="120" w:after="120" w:line="240" w:lineRule="auto"/>
      <w:jc w:val="both"/>
      <w:outlineLvl w:val="2"/>
    </w:pPr>
    <w:rPr>
      <w:rFonts w:cs="Arial"/>
      <w:b/>
      <w:bCs/>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907C84"/>
    <w:pPr>
      <w:tabs>
        <w:tab w:val="left" w:pos="1134"/>
        <w:tab w:val="right" w:pos="9072"/>
      </w:tabs>
      <w:spacing w:before="120" w:after="40" w:line="240" w:lineRule="auto"/>
      <w:ind w:left="1134" w:right="567" w:hanging="1134"/>
    </w:pPr>
    <w:rPr>
      <w:b/>
      <w:bCs/>
      <w:caps/>
      <w:sz w:val="24"/>
      <w:szCs w:val="24"/>
    </w:rPr>
  </w:style>
  <w:style w:type="paragraph" w:styleId="TOC2">
    <w:name w:val="toc 2"/>
    <w:basedOn w:val="Normal"/>
    <w:next w:val="Normal"/>
    <w:autoRedefine/>
    <w:uiPriority w:val="39"/>
    <w:qFormat/>
    <w:rsid w:val="00907C84"/>
    <w:pPr>
      <w:keepNext/>
      <w:tabs>
        <w:tab w:val="left" w:pos="1134"/>
        <w:tab w:val="right" w:pos="9072"/>
      </w:tabs>
      <w:spacing w:after="40" w:line="240" w:lineRule="auto"/>
      <w:ind w:left="1134" w:right="567" w:hanging="1134"/>
    </w:pPr>
    <w:rPr>
      <w:b/>
      <w:bCs/>
      <w:noProof/>
      <w:lang w:val="en-US"/>
    </w:rPr>
  </w:style>
  <w:style w:type="paragraph" w:styleId="TOC3">
    <w:name w:val="toc 3"/>
    <w:basedOn w:val="Normal"/>
    <w:next w:val="Normal"/>
    <w:autoRedefine/>
    <w:uiPriority w:val="39"/>
    <w:qFormat/>
    <w:rsid w:val="00907C84"/>
    <w:pPr>
      <w:tabs>
        <w:tab w:val="left" w:pos="1134"/>
        <w:tab w:val="right" w:pos="9072"/>
      </w:tabs>
      <w:spacing w:after="40" w:line="240" w:lineRule="auto"/>
      <w:ind w:left="1134" w:right="567" w:hanging="1134"/>
    </w:pPr>
    <w:rPr>
      <w:noProof/>
    </w:rPr>
  </w:style>
  <w:style w:type="character" w:customStyle="1" w:styleId="Heading1Char">
    <w:name w:val="Heading 1 Char"/>
    <w:aliases w:val="GITEC 1. Chapter Heading Char,Gitec heading 1 Char"/>
    <w:link w:val="Heading1"/>
    <w:rsid w:val="00EE5403"/>
    <w:rPr>
      <w:rFonts w:cstheme="minorHAnsi"/>
      <w:b/>
      <w:bCs/>
      <w:caps/>
      <w:kern w:val="32"/>
      <w:szCs w:val="32"/>
      <w:lang w:val="fr-FR"/>
    </w:rPr>
  </w:style>
  <w:style w:type="character" w:customStyle="1" w:styleId="Heading2Char">
    <w:name w:val="Heading 2 Char"/>
    <w:aliases w:val="GITEC 2. Chapter Heading Char,Gitec Heading 2 Char"/>
    <w:link w:val="Heading2"/>
    <w:uiPriority w:val="99"/>
    <w:rsid w:val="00380605"/>
    <w:rPr>
      <w:rFonts w:cs="Arial"/>
      <w:b/>
      <w:bCs/>
      <w:iCs/>
      <w:szCs w:val="28"/>
      <w:lang w:val="fr-FR"/>
    </w:rPr>
  </w:style>
  <w:style w:type="character" w:customStyle="1" w:styleId="Heading3Char">
    <w:name w:val="Heading 3 Char"/>
    <w:aliases w:val="GITEC 3. Chapter Heading Char,Gitec Heading 3 Char"/>
    <w:link w:val="Heading3"/>
    <w:rsid w:val="00EE5403"/>
    <w:rPr>
      <w:rFonts w:cs="Arial"/>
      <w:b/>
      <w:bCs/>
      <w:szCs w:val="26"/>
      <w:lang w:val="fr-FR"/>
    </w:rPr>
  </w:style>
  <w:style w:type="paragraph" w:customStyle="1" w:styleId="GITECStandard">
    <w:name w:val="GITEC Standard"/>
    <w:basedOn w:val="Normal"/>
    <w:autoRedefine/>
    <w:qFormat/>
    <w:rsid w:val="00380605"/>
    <w:pPr>
      <w:spacing w:before="60" w:after="120" w:line="240" w:lineRule="auto"/>
      <w:jc w:val="both"/>
    </w:pPr>
    <w:rPr>
      <w:sz w:val="20"/>
      <w:lang w:val="en-US"/>
    </w:rPr>
  </w:style>
  <w:style w:type="table" w:styleId="TableGrid">
    <w:name w:val="Table Grid"/>
    <w:basedOn w:val="TableNormal"/>
    <w:uiPriority w:val="39"/>
    <w:rsid w:val="00233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145B"/>
    <w:pPr>
      <w:ind w:left="720"/>
      <w:contextualSpacing/>
    </w:pPr>
  </w:style>
  <w:style w:type="character" w:styleId="Hyperlink">
    <w:name w:val="Hyperlink"/>
    <w:basedOn w:val="DefaultParagraphFont"/>
    <w:uiPriority w:val="99"/>
    <w:unhideWhenUsed/>
    <w:rsid w:val="00D61D97"/>
    <w:rPr>
      <w:color w:val="0563C1" w:themeColor="hyperlink"/>
      <w:u w:val="single"/>
    </w:rPr>
  </w:style>
  <w:style w:type="character" w:styleId="UnresolvedMention">
    <w:name w:val="Unresolved Mention"/>
    <w:basedOn w:val="DefaultParagraphFont"/>
    <w:uiPriority w:val="99"/>
    <w:semiHidden/>
    <w:unhideWhenUsed/>
    <w:rsid w:val="00D61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122790">
      <w:bodyDiv w:val="1"/>
      <w:marLeft w:val="0"/>
      <w:marRight w:val="0"/>
      <w:marTop w:val="0"/>
      <w:marBottom w:val="0"/>
      <w:divBdr>
        <w:top w:val="none" w:sz="0" w:space="0" w:color="auto"/>
        <w:left w:val="none" w:sz="0" w:space="0" w:color="auto"/>
        <w:bottom w:val="none" w:sz="0" w:space="0" w:color="auto"/>
        <w:right w:val="none" w:sz="0" w:space="0" w:color="auto"/>
      </w:divBdr>
    </w:div>
    <w:div w:id="1803964417">
      <w:bodyDiv w:val="1"/>
      <w:marLeft w:val="0"/>
      <w:marRight w:val="0"/>
      <w:marTop w:val="0"/>
      <w:marBottom w:val="0"/>
      <w:divBdr>
        <w:top w:val="none" w:sz="0" w:space="0" w:color="auto"/>
        <w:left w:val="none" w:sz="0" w:space="0" w:color="auto"/>
        <w:bottom w:val="none" w:sz="0" w:space="0" w:color="auto"/>
        <w:right w:val="none" w:sz="0" w:space="0" w:color="auto"/>
      </w:divBdr>
    </w:div>
    <w:div w:id="212488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www.kfw-entwicklungsbank.de/PDF/Download-Center/PDF-Dokumente-Richtlinien/FZ-Vergaberichtlinien-V-2021-EN.pdf" TargetMode="External" /><Relationship Id="rId4" Type="http://schemas.openxmlformats.org/officeDocument/2006/relationships/webSettings" Target="webSettings.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2477</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Gitec Igip Consulting Group</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Nervisa Bayon Blanco</dc:creator>
  <cp:keywords/>
  <dc:description/>
  <cp:lastModifiedBy>Kari Nykter</cp:lastModifiedBy>
  <cp:revision>2</cp:revision>
  <cp:lastPrinted>2023-04-13T08:15:00Z</cp:lastPrinted>
  <dcterms:created xsi:type="dcterms:W3CDTF">2023-04-17T05:05:00Z</dcterms:created>
  <dcterms:modified xsi:type="dcterms:W3CDTF">2023-04-17T05:05:00Z</dcterms:modified>
</cp:coreProperties>
</file>